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2B67ED24" w:rsidR="00CE352C" w:rsidRDefault="00CE352C" w:rsidP="00CE352C">
      <w:pPr>
        <w:jc w:val="center"/>
        <w:outlineLvl w:val="0"/>
        <w:rPr>
          <w:b/>
          <w:bCs/>
        </w:rPr>
      </w:pPr>
      <w:r>
        <w:rPr>
          <w:b/>
          <w:bCs/>
        </w:rPr>
        <w:t>подряда на выполнение работ</w:t>
      </w:r>
    </w:p>
    <w:p w14:paraId="0A23A226" w14:textId="77777777" w:rsidR="00CE352C" w:rsidRDefault="00CE352C" w:rsidP="00CE352C"/>
    <w:p w14:paraId="14103DDC" w14:textId="3A92A076" w:rsidR="00CE352C" w:rsidRDefault="00CE352C" w:rsidP="00CE352C">
      <w:pPr>
        <w:jc w:val="both"/>
      </w:pPr>
      <w:r>
        <w:t xml:space="preserve">г. Иркутск                                                                                     </w:t>
      </w:r>
      <w:proofErr w:type="gramStart"/>
      <w:r>
        <w:t xml:space="preserve">   «</w:t>
      </w:r>
      <w:proofErr w:type="gramEnd"/>
      <w:r>
        <w:t>___»______________ 202</w:t>
      </w:r>
      <w:r w:rsidR="001A3E54">
        <w:t>3</w:t>
      </w:r>
      <w:r>
        <w:t xml:space="preserve"> г.</w:t>
      </w:r>
    </w:p>
    <w:p w14:paraId="4E21E149" w14:textId="77777777" w:rsidR="00CE352C" w:rsidRDefault="00CE352C" w:rsidP="00CE352C"/>
    <w:p w14:paraId="04CC887D" w14:textId="77777777" w:rsidR="00CE352C" w:rsidRDefault="00CE352C" w:rsidP="00CE352C"/>
    <w:p w14:paraId="359CC428" w14:textId="2D566401"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B64349">
        <w:rPr>
          <w:spacing w:val="-4"/>
        </w:rPr>
        <w:t>39</w:t>
      </w:r>
      <w:r>
        <w:rPr>
          <w:spacing w:val="-4"/>
        </w:rPr>
        <w:t xml:space="preserve"> от 01.0</w:t>
      </w:r>
      <w:r w:rsidR="004E6B48">
        <w:rPr>
          <w:spacing w:val="-4"/>
        </w:rPr>
        <w:t>4</w:t>
      </w:r>
      <w:r>
        <w:rPr>
          <w:spacing w:val="-4"/>
        </w:rPr>
        <w:t>.202</w:t>
      </w:r>
      <w:r w:rsidR="00B64349">
        <w:rPr>
          <w:spacing w:val="-4"/>
        </w:rPr>
        <w:t>3</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BC0AD42"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A370B2">
        <w:t>раб</w:t>
      </w:r>
      <w:r w:rsidR="003D1C41" w:rsidRPr="008C0012">
        <w:t>оты следующего содержания:</w:t>
      </w:r>
      <w:r w:rsidR="00F27211">
        <w:t xml:space="preserve"> </w:t>
      </w:r>
      <w:r w:rsidR="00B65E4E" w:rsidRPr="00B65E4E">
        <w:rPr>
          <w:b/>
        </w:rPr>
        <w:t>Лифт пассажирский г/п 400 кг инв.№ 030604 (ТГ0001250), инв.№ ИРГ_030605 (ТГ0001249). Лифт пассажирский в правобережном устое здания ГЭС инв. № 030611 (ТГ0001248). Грузопассажирский лифт в машинном зале инв.№ ИРГ_030612 (ТГ0001089). Техническое обслуживание лифтов.</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5" w14:textId="71F785E5"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 xml:space="preserve">едомость объемов работ № 1 (Приложение № </w:t>
      </w:r>
      <w:r w:rsidR="00732981">
        <w:rPr>
          <w:bCs/>
        </w:rPr>
        <w:t>1</w:t>
      </w:r>
      <w:r w:rsidR="00F27211" w:rsidRPr="00BB1539">
        <w:rPr>
          <w:bCs/>
        </w:rPr>
        <w:t>).</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77F01291" w:rsidR="003D1C41" w:rsidRPr="008C0012" w:rsidRDefault="003D1C41">
      <w:pPr>
        <w:pStyle w:val="a4"/>
      </w:pPr>
      <w:r w:rsidRPr="008C0012">
        <w:t>2.1.</w:t>
      </w:r>
      <w:r w:rsidR="00F27211">
        <w:t xml:space="preserve"> </w:t>
      </w:r>
      <w:r w:rsidRPr="008C0012">
        <w:t xml:space="preserve">Цена </w:t>
      </w:r>
      <w:r w:rsidR="00B64349" w:rsidRPr="00B64349">
        <w:t>выполняемых</w:t>
      </w:r>
      <w:r w:rsidRPr="008C0012">
        <w:t xml:space="preserve">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732981">
        <w:t>2</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732981">
        <w:t>3</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40DA6D42"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5E2E3BB5"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732981">
        <w:t>4</w:t>
      </w:r>
      <w:r w:rsidRPr="00F27211">
        <w:t>);</w:t>
      </w:r>
      <w:r w:rsidR="006706E5" w:rsidRPr="006706E5">
        <w:t xml:space="preserve"> </w:t>
      </w:r>
    </w:p>
    <w:p w14:paraId="1473DD70" w14:textId="10E4237A"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732981">
        <w:rPr>
          <w:iCs/>
        </w:rPr>
        <w:t>1</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6E0F2D1C"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w:t>
      </w:r>
      <w:r w:rsidR="00732981">
        <w:t>6</w:t>
      </w:r>
      <w:r>
        <w:t xml:space="preserve">). За несоблюдение положений Соглашения (Приложение № </w:t>
      </w:r>
      <w:r w:rsidR="00732981">
        <w:t>6</w:t>
      </w:r>
      <w:r>
        <w:t xml:space="preserve">)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 xml:space="preserve">Приложения № </w:t>
      </w:r>
      <w:r w:rsidR="00732981">
        <w:t>6</w:t>
      </w:r>
      <w:r w:rsidR="00CE352C">
        <w:t xml:space="preserve"> к Договору</w:t>
      </w:r>
      <w:r>
        <w:t xml:space="preserve">. </w:t>
      </w:r>
    </w:p>
    <w:p w14:paraId="683348BB" w14:textId="2B10CA95" w:rsidR="00F0157B" w:rsidRDefault="003A0CB5" w:rsidP="003A0CB5">
      <w:pPr>
        <w:tabs>
          <w:tab w:val="left" w:pos="1134"/>
        </w:tabs>
        <w:jc w:val="both"/>
      </w:pPr>
      <w:r>
        <w:t>3.1.1</w:t>
      </w:r>
      <w:r w:rsidR="00F0157B">
        <w:t>4</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732981">
        <w:t>7</w:t>
      </w:r>
      <w:r>
        <w:t xml:space="preserve">). </w:t>
      </w:r>
    </w:p>
    <w:p w14:paraId="2DB3F84C" w14:textId="6FC69397" w:rsidR="003A0CB5" w:rsidRDefault="003A0CB5" w:rsidP="003A0CB5">
      <w:pPr>
        <w:tabs>
          <w:tab w:val="left" w:pos="1134"/>
        </w:tabs>
        <w:jc w:val="both"/>
      </w:pPr>
      <w:r>
        <w:t xml:space="preserve">За несоблюдение положений Соглашения (Приложение № </w:t>
      </w:r>
      <w:r w:rsidR="00732981">
        <w:t>7</w:t>
      </w:r>
      <w:r>
        <w:t>)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w:t>
      </w:r>
      <w:r w:rsidR="00732981">
        <w:t>6</w:t>
      </w:r>
      <w:r w:rsidR="00CE352C">
        <w:t xml:space="preserve"> к Договору</w:t>
      </w:r>
      <w:r>
        <w:t xml:space="preserve">. </w:t>
      </w:r>
    </w:p>
    <w:p w14:paraId="28A914CA" w14:textId="55E6FB56"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r w:rsidRPr="005D6B70">
        <w:lastRenderedPageBreak/>
        <w:t>коронавирусной инфекции COVID-19, являющемся неотъемлемой частью настоящего договора (Приложение №</w:t>
      </w:r>
      <w:r w:rsidR="00732981">
        <w:t>8</w:t>
      </w:r>
      <w:r w:rsidRPr="005D6B70">
        <w:t xml:space="preserve">).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0B56A917"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w:t>
      </w:r>
      <w:r w:rsidR="00732981">
        <w:rPr>
          <w:rFonts w:ascii="Times New Roman" w:hAnsi="Times New Roman" w:cs="Times New Roman"/>
          <w:sz w:val="24"/>
          <w:szCs w:val="24"/>
        </w:rPr>
        <w:t>0</w:t>
      </w:r>
      <w:r w:rsidRPr="006A3F40">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6A3F40">
        <w:rPr>
          <w:rFonts w:ascii="Times New Roman" w:hAnsi="Times New Roman" w:cs="Times New Roman"/>
          <w:sz w:val="24"/>
          <w:szCs w:val="24"/>
        </w:rPr>
        <w:lastRenderedPageBreak/>
        <w:t xml:space="preserve">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732981">
        <w:rPr>
          <w:rFonts w:ascii="Times New Roman" w:hAnsi="Times New Roman" w:cs="Times New Roman"/>
          <w:sz w:val="24"/>
          <w:szCs w:val="24"/>
        </w:rPr>
        <w:t>6</w:t>
      </w:r>
      <w:r w:rsidRPr="006A3F40">
        <w:rPr>
          <w:rFonts w:ascii="Times New Roman" w:hAnsi="Times New Roman" w:cs="Times New Roman"/>
          <w:sz w:val="24"/>
          <w:szCs w:val="24"/>
        </w:rPr>
        <w:t xml:space="preserve">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53CF07A0" w:rsidR="003D1C41" w:rsidRPr="006A3F40" w:rsidRDefault="00753545">
      <w:pPr>
        <w:pStyle w:val="a4"/>
        <w:rPr>
          <w:iCs/>
        </w:rPr>
      </w:pPr>
      <w:r w:rsidRPr="006A3F40">
        <w:t xml:space="preserve">3.2.1. </w:t>
      </w:r>
      <w:r w:rsidR="003D1C41" w:rsidRPr="006A3F40">
        <w:rPr>
          <w:iCs/>
        </w:rPr>
        <w:t xml:space="preserve">Своевременно обеспечить готовность объекта к </w:t>
      </w:r>
      <w:r w:rsidR="00414ED4" w:rsidRPr="00414ED4">
        <w:rPr>
          <w:iCs/>
        </w:rPr>
        <w:t>выполнению подрядных работ</w:t>
      </w:r>
      <w:r w:rsidR="003D1C41" w:rsidRPr="006A3F40">
        <w:rPr>
          <w:iCs/>
        </w:rPr>
        <w:t>,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25AF9DD9"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732981">
        <w:t>4</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406F7652"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C50770" w:rsidRPr="006A3F40">
        <w:rPr>
          <w:b/>
        </w:rPr>
        <w:t>1</w:t>
      </w:r>
      <w:r w:rsidR="00E85BA0" w:rsidRPr="006A3F40">
        <w:rPr>
          <w:b/>
        </w:rPr>
        <w:t>.</w:t>
      </w:r>
      <w:r w:rsidR="00A370B2">
        <w:rPr>
          <w:b/>
        </w:rPr>
        <w:t>12</w:t>
      </w:r>
      <w:r w:rsidR="00E85BA0" w:rsidRPr="006A3F40">
        <w:rPr>
          <w:b/>
        </w:rPr>
        <w:t>.202</w:t>
      </w:r>
      <w:r w:rsidR="008E1B28">
        <w:rPr>
          <w:b/>
        </w:rPr>
        <w:t xml:space="preserve">4 </w:t>
      </w:r>
      <w:r w:rsidRPr="006A3F40">
        <w:rPr>
          <w:b/>
        </w:rPr>
        <w:t>года.</w:t>
      </w:r>
      <w:r w:rsidRPr="006A3F40">
        <w:t xml:space="preserve"> </w:t>
      </w:r>
    </w:p>
    <w:p w14:paraId="1473DD8E" w14:textId="469AC2E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732981">
        <w:rPr>
          <w:iCs/>
        </w:rPr>
        <w:t>4</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1853A96"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составляющего </w:t>
      </w:r>
      <w:r w:rsidR="00E0359F" w:rsidRPr="006A3F40">
        <w:rPr>
          <w:b/>
        </w:rPr>
        <w:t xml:space="preserve"> </w:t>
      </w:r>
      <w:r w:rsidR="00A370B2">
        <w:rPr>
          <w:b/>
        </w:rPr>
        <w:t xml:space="preserve">2 </w:t>
      </w:r>
      <w:r w:rsidR="00E0359F" w:rsidRPr="006A3F40">
        <w:rPr>
          <w:b/>
        </w:rPr>
        <w:t>(</w:t>
      </w:r>
      <w:r w:rsidR="00A370B2">
        <w:rPr>
          <w:b/>
        </w:rPr>
        <w:t>Два</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w:t>
      </w:r>
      <w:bookmarkStart w:id="1" w:name="_GoBack"/>
      <w:bookmarkEnd w:id="1"/>
      <w:r w:rsidR="003D1C41" w:rsidRPr="006A3F40">
        <w:t>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lastRenderedPageBreak/>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lastRenderedPageBreak/>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w:t>
      </w:r>
      <w:r w:rsidRPr="006A3F40">
        <w:lastRenderedPageBreak/>
        <w:t xml:space="preserve">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5DF5F811"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 xml:space="preserve">Приложения № </w:t>
      </w:r>
      <w:r w:rsidR="00732981">
        <w:t>6</w:t>
      </w:r>
      <w:r w:rsidR="00CE352C" w:rsidRPr="006A3F40">
        <w:t xml:space="preserve"> к настоящему До</w:t>
      </w:r>
      <w:r w:rsidRPr="006A3F40">
        <w:t xml:space="preserve">говору. </w:t>
      </w:r>
    </w:p>
    <w:p w14:paraId="36494BFD" w14:textId="7F8F555E" w:rsidR="006F3129" w:rsidRPr="006A3F40" w:rsidRDefault="006F3129" w:rsidP="00C841BF">
      <w:pPr>
        <w:pStyle w:val="a4"/>
        <w:tabs>
          <w:tab w:val="num" w:pos="540"/>
        </w:tabs>
      </w:pPr>
      <w:r w:rsidRPr="006A3F40">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w:t>
      </w:r>
      <w:r w:rsidR="00732981">
        <w:t>8</w:t>
      </w:r>
      <w:r w:rsidRPr="006A3F40">
        <w:t xml:space="preserve"> к настоящему договору.</w:t>
      </w:r>
    </w:p>
    <w:p w14:paraId="08694292" w14:textId="58299B27" w:rsidR="00C841BF" w:rsidRPr="006A3F40" w:rsidRDefault="00C841BF" w:rsidP="00C841BF">
      <w:pPr>
        <w:pStyle w:val="a4"/>
        <w:tabs>
          <w:tab w:val="num" w:pos="540"/>
        </w:tabs>
      </w:pPr>
      <w:r w:rsidRPr="006A3F40">
        <w:t xml:space="preserve">При повторных нарушениях требований Приложений № </w:t>
      </w:r>
      <w:r w:rsidR="00732981">
        <w:t>6</w:t>
      </w:r>
      <w:r w:rsidR="006F3129" w:rsidRPr="006A3F40">
        <w:t xml:space="preserve">, </w:t>
      </w:r>
      <w:r w:rsidR="00732981">
        <w:t>7</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6A3F40">
        <w:lastRenderedPageBreak/>
        <w:t>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lastRenderedPageBreak/>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3B34A64D"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732981">
        <w:rPr>
          <w:bCs/>
        </w:rPr>
        <w:t>5</w:t>
      </w:r>
      <w:r w:rsidR="00986800" w:rsidRPr="006A3F40">
        <w:rPr>
          <w:bCs/>
        </w:rPr>
        <w:t xml:space="preserve"> («Соглашение о соблюдении антикоррупционных условий»), Приложением №</w:t>
      </w:r>
      <w:r w:rsidR="00732981">
        <w:rPr>
          <w:bCs/>
        </w:rPr>
        <w:t>6</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732981">
        <w:rPr>
          <w:bCs/>
        </w:rPr>
        <w:t>7</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Приложением №</w:t>
      </w:r>
      <w:r w:rsidR="00732981">
        <w:rPr>
          <w:bCs/>
        </w:rPr>
        <w:t>8</w:t>
      </w:r>
      <w:r w:rsidR="004F2081" w:rsidRPr="006A3F40">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w:t>
      </w:r>
      <w:r w:rsidR="00732981">
        <w:rPr>
          <w:bCs/>
        </w:rPr>
        <w:t>9</w:t>
      </w:r>
      <w:r w:rsidR="004F2081" w:rsidRPr="006A3F40">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6ADC2161"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w:t>
      </w:r>
      <w:r w:rsidR="00732981" w:rsidRPr="006A3F40">
        <w:rPr>
          <w:bCs/>
        </w:rPr>
        <w:t>Ведомость объемов работ №1;</w:t>
      </w:r>
    </w:p>
    <w:p w14:paraId="3DE92CB5" w14:textId="50B313D7"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xml:space="preserve">– </w:t>
      </w:r>
      <w:r w:rsidR="00732981" w:rsidRPr="006A3F40">
        <w:rPr>
          <w:bCs/>
        </w:rPr>
        <w:t>Смета №1;</w:t>
      </w:r>
    </w:p>
    <w:p w14:paraId="3564EB54" w14:textId="4EA3C849" w:rsidR="004F2081" w:rsidRPr="006A3F40" w:rsidRDefault="004F2081" w:rsidP="004F2081">
      <w:pPr>
        <w:numPr>
          <w:ilvl w:val="0"/>
          <w:numId w:val="4"/>
        </w:numPr>
        <w:tabs>
          <w:tab w:val="clear" w:pos="1440"/>
          <w:tab w:val="num" w:pos="284"/>
        </w:tabs>
        <w:ind w:left="0" w:firstLine="284"/>
        <w:jc w:val="both"/>
        <w:rPr>
          <w:bCs/>
        </w:rPr>
      </w:pPr>
      <w:r w:rsidRPr="006A3F40">
        <w:rPr>
          <w:bCs/>
        </w:rPr>
        <w:t xml:space="preserve">Приложение 3 – </w:t>
      </w:r>
      <w:r w:rsidR="00732981" w:rsidRPr="006A3F40">
        <w:rPr>
          <w:bCs/>
          <w:iCs/>
        </w:rPr>
        <w:t>Расчет договорной стоимости работ;</w:t>
      </w:r>
    </w:p>
    <w:p w14:paraId="7BA4CB9B" w14:textId="575131E6"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w:t>
      </w:r>
      <w:r w:rsidR="00732981" w:rsidRPr="006A3F40">
        <w:rPr>
          <w:bCs/>
          <w:iCs/>
        </w:rPr>
        <w:t>Календарный план выполнения объемов работ</w:t>
      </w:r>
      <w:r w:rsidR="00732981" w:rsidRPr="006A3F40">
        <w:rPr>
          <w:bCs/>
          <w:i/>
          <w:iCs/>
        </w:rPr>
        <w:t>;</w:t>
      </w:r>
    </w:p>
    <w:p w14:paraId="7C23EE32" w14:textId="63AF2CCA"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w:t>
      </w:r>
      <w:r w:rsidR="00732981" w:rsidRPr="00732981">
        <w:rPr>
          <w:bCs/>
        </w:rPr>
        <w:t xml:space="preserve"> </w:t>
      </w:r>
      <w:r w:rsidR="00732981" w:rsidRPr="006A3F40">
        <w:rPr>
          <w:bCs/>
        </w:rPr>
        <w:t>Соглашение о соблюдении антикоррупционных условий;</w:t>
      </w:r>
    </w:p>
    <w:p w14:paraId="0975DBCB" w14:textId="50DAE322"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00732981" w:rsidRPr="006A3F40">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097DB651" w14:textId="3FE13D68"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00732981" w:rsidRPr="006A3F40">
        <w:rPr>
          <w:bCs/>
          <w:iCs/>
        </w:rPr>
        <w:t>Соглашение о соблюдении подрядчиком требований в области антитеррористической безопасности</w:t>
      </w:r>
      <w:r w:rsidR="00732981">
        <w:rPr>
          <w:bCs/>
          <w:iCs/>
        </w:rPr>
        <w:t>;</w:t>
      </w:r>
    </w:p>
    <w:p w14:paraId="36C8046A" w14:textId="48D70112"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 xml:space="preserve">Приложение 8 – </w:t>
      </w:r>
      <w:r w:rsidR="00732981" w:rsidRPr="006A3F40">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325E18D2" w14:textId="58EB942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00732981" w:rsidRPr="006A3F40">
        <w:rPr>
          <w:bCs/>
          <w:iCs/>
        </w:rPr>
        <w:t>Соглашение о</w:t>
      </w:r>
      <w:r w:rsidR="00732981" w:rsidRPr="006A3F40">
        <w:rPr>
          <w:bCs/>
        </w:rPr>
        <w:t>б обязательствах обеспечения средствами индивидуальной защиты сотрудников организаций-контрагентов;</w:t>
      </w:r>
    </w:p>
    <w:p w14:paraId="5EEB009C" w14:textId="6B94B809" w:rsidR="004F2081" w:rsidRPr="006A3F40" w:rsidRDefault="004F2081" w:rsidP="004F2081">
      <w:pPr>
        <w:tabs>
          <w:tab w:val="num" w:pos="284"/>
        </w:tabs>
        <w:ind w:firstLine="284"/>
        <w:rPr>
          <w:bCs/>
          <w:iCs/>
        </w:rPr>
      </w:pPr>
      <w:r w:rsidRPr="006A3F40">
        <w:rPr>
          <w:bCs/>
          <w:iCs/>
        </w:rPr>
        <w:t xml:space="preserve">-      Приложение 10 – </w:t>
      </w:r>
      <w:r w:rsidR="00732981" w:rsidRPr="006A3F40">
        <w:t>Унифицированная форма сбора отчетности по охране труда Подрядчиком.</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lastRenderedPageBreak/>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CA2CF02"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8E1B28">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3E54"/>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4ED4"/>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2E7E"/>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2981"/>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E1B28"/>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370B2"/>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4349"/>
    <w:rsid w:val="00B65AC9"/>
    <w:rsid w:val="00B65E4E"/>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96681308">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www.w3.org/XML/1998/namespace"/>
    <ds:schemaRef ds:uri="http://schemas.openxmlformats.org/package/2006/metadata/core-properties"/>
    <ds:schemaRef ds:uri="http://purl.org/dc/terms/"/>
    <ds:schemaRef ds:uri="http://schemas.microsoft.com/office/2006/metadata/properties"/>
    <ds:schemaRef ds:uri="http://purl.org/dc/elements/1.1/"/>
    <ds:schemaRef ds:uri="30e719df-8a88-48c9-b375-63b80a03932c"/>
    <ds:schemaRef ds:uri="http://schemas.microsoft.com/office/2006/documentManagement/types"/>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285FF6-C8C0-4B8B-B5A7-95C05060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7188</Words>
  <Characters>51679</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7</cp:revision>
  <cp:lastPrinted>2022-10-11T06:30:00Z</cp:lastPrinted>
  <dcterms:created xsi:type="dcterms:W3CDTF">2023-11-12T23:47:00Z</dcterms:created>
  <dcterms:modified xsi:type="dcterms:W3CDTF">2023-11-20T02:34:00Z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